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腹腔镜全直肠系膜切除术治疗低位、超低位直肠癌的临床研究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申请人：白宾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指导教师：王建国</w:t>
      </w:r>
    </w:p>
    <w:p>
      <w:pPr>
        <w:pStyle w:val="5"/>
        <w:rPr>
          <w:szCs w:val="30"/>
        </w:rPr>
      </w:pPr>
    </w:p>
    <w:p>
      <w:pPr>
        <w:pStyle w:val="5"/>
        <w:rPr>
          <w:szCs w:val="30"/>
        </w:rPr>
      </w:pPr>
      <w:r>
        <w:rPr>
          <w:sz w:val="24"/>
          <w:szCs w:val="24"/>
        </w:rPr>
        <w:t>摘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要</w:t>
      </w:r>
    </w:p>
    <w:p>
      <w:pPr>
        <w:spacing w:line="360" w:lineRule="auto"/>
        <w:rPr>
          <w:rFonts w:eastAsia="黑体"/>
          <w:sz w:val="24"/>
        </w:rPr>
      </w:pPr>
      <w:r>
        <w:rPr>
          <w:rFonts w:hint="eastAsia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Ansi="黑体" w:eastAsia="黑体"/>
          <w:sz w:val="24"/>
          <w:szCs w:val="24"/>
        </w:rPr>
        <w:t>目的</w:t>
      </w:r>
      <w:r>
        <w:rPr>
          <w:rFonts w:eastAsia="黑体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探讨腹腔镜全直肠系膜切除在低位、超低位直肠癌手术中的安全性、肿瘤根治性、术后恢复情况和疗效。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Ansi="黑体" w:eastAsia="黑体"/>
          <w:sz w:val="24"/>
          <w:szCs w:val="24"/>
        </w:rPr>
        <w:t>方法</w:t>
      </w:r>
      <w:r>
        <w:rPr>
          <w:rFonts w:eastAsia="黑体"/>
          <w:sz w:val="28"/>
          <w:szCs w:val="28"/>
        </w:rPr>
        <w:t xml:space="preserve"> </w:t>
      </w:r>
    </w:p>
    <w:p>
      <w:pPr>
        <w:spacing w:line="360" w:lineRule="auto"/>
        <w:ind w:firstLine="470" w:firstLineChars="196"/>
        <w:rPr>
          <w:sz w:val="28"/>
        </w:rPr>
      </w:pPr>
      <w:r>
        <w:rPr>
          <w:rFonts w:hAnsi="宋体"/>
          <w:sz w:val="24"/>
        </w:rPr>
        <w:t>回顾分析</w:t>
      </w:r>
      <w:r>
        <w:rPr>
          <w:sz w:val="24"/>
        </w:rPr>
        <w:t>2012</w:t>
      </w:r>
      <w:r>
        <w:rPr>
          <w:rFonts w:hAnsi="宋体"/>
          <w:sz w:val="24"/>
        </w:rPr>
        <w:t>年</w:t>
      </w:r>
      <w:r>
        <w:rPr>
          <w:sz w:val="24"/>
        </w:rPr>
        <w:t>1</w:t>
      </w:r>
      <w:r>
        <w:rPr>
          <w:rFonts w:hAnsi="宋体"/>
          <w:sz w:val="24"/>
        </w:rPr>
        <w:t>月至</w:t>
      </w:r>
      <w:r>
        <w:rPr>
          <w:sz w:val="24"/>
        </w:rPr>
        <w:t>2014</w:t>
      </w:r>
      <w:r>
        <w:rPr>
          <w:rFonts w:hAnsi="宋体"/>
          <w:sz w:val="24"/>
        </w:rPr>
        <w:t>年</w:t>
      </w:r>
      <w:r>
        <w:rPr>
          <w:sz w:val="24"/>
        </w:rPr>
        <w:t>6</w:t>
      </w:r>
      <w:r>
        <w:rPr>
          <w:rFonts w:hAnsi="宋体"/>
          <w:sz w:val="24"/>
        </w:rPr>
        <w:t>月收治的低位、超低位直肠癌病例</w:t>
      </w:r>
      <w:r>
        <w:rPr>
          <w:rFonts w:hint="eastAsia" w:hAnsi="宋体"/>
          <w:sz w:val="24"/>
          <w:lang w:eastAsia="zh-CN"/>
        </w:rPr>
        <w:t>共</w:t>
      </w:r>
      <w:r>
        <w:rPr>
          <w:rFonts w:hint="eastAsia" w:hAnsi="宋体"/>
          <w:sz w:val="24"/>
          <w:lang w:val="en-US" w:eastAsia="zh-CN"/>
        </w:rPr>
        <w:t>136例</w:t>
      </w:r>
      <w:r>
        <w:rPr>
          <w:rFonts w:hAnsi="宋体"/>
          <w:sz w:val="24"/>
        </w:rPr>
        <w:t>，行腹腔镜全直肠系膜切除</w:t>
      </w:r>
      <w:r>
        <w:rPr>
          <w:sz w:val="24"/>
        </w:rPr>
        <w:t>64</w:t>
      </w:r>
      <w:r>
        <w:rPr>
          <w:rFonts w:hAnsi="宋体"/>
          <w:sz w:val="24"/>
        </w:rPr>
        <w:t>例，开腹全直肠系膜切除</w:t>
      </w:r>
      <w:r>
        <w:rPr>
          <w:sz w:val="24"/>
        </w:rPr>
        <w:t>72</w:t>
      </w:r>
      <w:r>
        <w:rPr>
          <w:rFonts w:hAnsi="宋体"/>
          <w:sz w:val="24"/>
        </w:rPr>
        <w:t>例，对比手术学指标、肿瘤根治性和术后疗效。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Ansi="黑体" w:eastAsia="黑体"/>
          <w:sz w:val="24"/>
          <w:szCs w:val="24"/>
        </w:rPr>
        <w:t>结果</w:t>
      </w:r>
      <w:r>
        <w:rPr>
          <w:rFonts w:eastAsia="黑体"/>
          <w:sz w:val="28"/>
          <w:szCs w:val="28"/>
        </w:rPr>
        <w:t xml:space="preserve"> </w:t>
      </w:r>
    </w:p>
    <w:p>
      <w:pPr>
        <w:spacing w:line="360" w:lineRule="auto"/>
        <w:ind w:firstLine="470" w:firstLineChars="196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、腹腔镜组手术时间长于开腹组，</w:t>
      </w:r>
      <w:r>
        <w:rPr>
          <w:sz w:val="24"/>
        </w:rPr>
        <w:t xml:space="preserve"> (162.4±42.0</w:t>
      </w:r>
      <w:r>
        <w:rPr>
          <w:rFonts w:hAnsi="宋体"/>
          <w:sz w:val="24"/>
        </w:rPr>
        <w:t>）</w:t>
      </w:r>
      <w:r>
        <w:rPr>
          <w:sz w:val="24"/>
        </w:rPr>
        <w:t>min</w:t>
      </w:r>
      <w:r>
        <w:rPr>
          <w:rFonts w:hAnsi="宋体"/>
          <w:sz w:val="24"/>
        </w:rPr>
        <w:t>和</w:t>
      </w:r>
      <w:r>
        <w:rPr>
          <w:sz w:val="24"/>
        </w:rPr>
        <w:t>(146.1±31.2</w:t>
      </w:r>
      <w:r>
        <w:rPr>
          <w:rFonts w:hAnsi="宋体"/>
          <w:sz w:val="24"/>
        </w:rPr>
        <w:t>）</w:t>
      </w:r>
      <w:r>
        <w:rPr>
          <w:sz w:val="24"/>
        </w:rPr>
        <w:t>min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=0.011</w:t>
      </w:r>
      <w:r>
        <w:rPr>
          <w:rFonts w:hAnsi="宋体"/>
          <w:sz w:val="24"/>
        </w:rPr>
        <w:t>，差异在统计学上具有显著性意义。腹腔镜组手术出血量少于开腹组，（</w:t>
      </w:r>
      <w:r>
        <w:rPr>
          <w:sz w:val="24"/>
        </w:rPr>
        <w:t>87.6±52.2</w:t>
      </w:r>
      <w:r>
        <w:rPr>
          <w:rFonts w:hAnsi="宋体"/>
          <w:sz w:val="24"/>
        </w:rPr>
        <w:t>）</w:t>
      </w:r>
      <w:r>
        <w:rPr>
          <w:sz w:val="24"/>
        </w:rPr>
        <w:t>ml</w:t>
      </w:r>
      <w:r>
        <w:rPr>
          <w:rFonts w:hAnsi="宋体"/>
          <w:sz w:val="24"/>
        </w:rPr>
        <w:t>和（</w:t>
      </w:r>
      <w:r>
        <w:rPr>
          <w:sz w:val="24"/>
        </w:rPr>
        <w:t>199.4±95.8</w:t>
      </w:r>
      <w:r>
        <w:rPr>
          <w:rFonts w:hAnsi="宋体"/>
          <w:sz w:val="24"/>
        </w:rPr>
        <w:t>）</w:t>
      </w:r>
      <w:r>
        <w:rPr>
          <w:sz w:val="24"/>
        </w:rPr>
        <w:t>ml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>=0.000</w:t>
      </w:r>
      <w:r>
        <w:rPr>
          <w:rFonts w:hAnsi="宋体"/>
          <w:sz w:val="24"/>
        </w:rPr>
        <w:t>，差异在统计学上具有非常显著性意义。保肛率、清除淋巴结数目和远切端距肿瘤的距离方面，腹腔镜组与开腹组差异不具备统计学意义〔</w:t>
      </w:r>
      <w:r>
        <w:rPr>
          <w:sz w:val="24"/>
        </w:rPr>
        <w:t xml:space="preserve">90.6% </w:t>
      </w:r>
      <w:r>
        <w:rPr>
          <w:rFonts w:hAnsi="宋体"/>
          <w:sz w:val="24"/>
        </w:rPr>
        <w:t>和</w:t>
      </w:r>
      <w:r>
        <w:rPr>
          <w:sz w:val="24"/>
        </w:rPr>
        <w:t xml:space="preserve"> 86.1%</w:t>
      </w:r>
      <w:r>
        <w:rPr>
          <w:rFonts w:hAnsi="宋体"/>
          <w:sz w:val="24"/>
        </w:rPr>
        <w:t>，</w:t>
      </w:r>
      <w:r>
        <w:rPr>
          <w:sz w:val="24"/>
        </w:rPr>
        <w:t>P=0.415</w:t>
      </w:r>
      <w:r>
        <w:rPr>
          <w:rFonts w:hAnsi="宋体"/>
          <w:sz w:val="24"/>
        </w:rPr>
        <w:t>；（</w:t>
      </w:r>
      <w:r>
        <w:rPr>
          <w:sz w:val="24"/>
        </w:rPr>
        <w:t>10.1±2.5</w:t>
      </w:r>
      <w:r>
        <w:rPr>
          <w:rFonts w:hAnsi="宋体"/>
          <w:sz w:val="24"/>
        </w:rPr>
        <w:t>）枚</w:t>
      </w:r>
      <w:r>
        <w:rPr>
          <w:sz w:val="24"/>
        </w:rPr>
        <w:t xml:space="preserve"> </w:t>
      </w:r>
      <w:r>
        <w:rPr>
          <w:rFonts w:hAnsi="宋体"/>
          <w:sz w:val="24"/>
        </w:rPr>
        <w:t>和（</w:t>
      </w:r>
      <w:r>
        <w:rPr>
          <w:sz w:val="24"/>
        </w:rPr>
        <w:t>10.8±3.4</w:t>
      </w:r>
      <w:r>
        <w:rPr>
          <w:rFonts w:hAnsi="宋体"/>
          <w:sz w:val="24"/>
        </w:rPr>
        <w:t>）枚，</w:t>
      </w:r>
      <w:r>
        <w:rPr>
          <w:i/>
          <w:sz w:val="24"/>
        </w:rPr>
        <w:t>P</w:t>
      </w:r>
      <w:r>
        <w:rPr>
          <w:sz w:val="24"/>
        </w:rPr>
        <w:t xml:space="preserve"> =0.126</w:t>
      </w:r>
      <w:r>
        <w:rPr>
          <w:rFonts w:hAnsi="宋体"/>
          <w:sz w:val="24"/>
        </w:rPr>
        <w:t>；（</w:t>
      </w:r>
      <w:r>
        <w:rPr>
          <w:sz w:val="24"/>
        </w:rPr>
        <w:t>2.34±0.47</w:t>
      </w:r>
      <w:r>
        <w:rPr>
          <w:rFonts w:hAnsi="宋体"/>
          <w:sz w:val="24"/>
        </w:rPr>
        <w:t>）</w:t>
      </w:r>
      <w:r>
        <w:rPr>
          <w:sz w:val="24"/>
        </w:rPr>
        <w:t xml:space="preserve">cm </w:t>
      </w:r>
      <w:r>
        <w:rPr>
          <w:rFonts w:hAnsi="宋体"/>
          <w:sz w:val="24"/>
        </w:rPr>
        <w:t>和（</w:t>
      </w:r>
      <w:r>
        <w:rPr>
          <w:sz w:val="24"/>
        </w:rPr>
        <w:t>2.47±0.69</w:t>
      </w:r>
      <w:r>
        <w:rPr>
          <w:rFonts w:hAnsi="宋体"/>
          <w:sz w:val="24"/>
        </w:rPr>
        <w:t>）</w:t>
      </w:r>
      <w:r>
        <w:rPr>
          <w:sz w:val="24"/>
        </w:rPr>
        <w:t>cm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=0.203</w:t>
      </w:r>
      <w:r>
        <w:rPr>
          <w:rFonts w:hAnsi="宋体"/>
          <w:sz w:val="24"/>
        </w:rPr>
        <w:t>〕。腹腔镜组直肠系膜完整性</w:t>
      </w:r>
      <w:r>
        <w:rPr>
          <w:sz w:val="24"/>
        </w:rPr>
        <w:t>1</w:t>
      </w:r>
      <w:r>
        <w:rPr>
          <w:rFonts w:hAnsi="宋体"/>
          <w:sz w:val="24"/>
        </w:rPr>
        <w:t>级</w:t>
      </w:r>
      <w:r>
        <w:rPr>
          <w:sz w:val="24"/>
        </w:rPr>
        <w:t>52</w:t>
      </w:r>
      <w:r>
        <w:rPr>
          <w:rFonts w:hAnsi="宋体"/>
          <w:sz w:val="24"/>
        </w:rPr>
        <w:t>例（</w:t>
      </w:r>
      <w:r>
        <w:rPr>
          <w:sz w:val="24"/>
        </w:rPr>
        <w:t>81.3%</w:t>
      </w:r>
      <w:r>
        <w:rPr>
          <w:rFonts w:hAnsi="宋体"/>
          <w:sz w:val="24"/>
        </w:rPr>
        <w:t>），开腹组直肠系膜完整性</w:t>
      </w:r>
      <w:r>
        <w:rPr>
          <w:sz w:val="24"/>
        </w:rPr>
        <w:t>1</w:t>
      </w:r>
      <w:r>
        <w:rPr>
          <w:rFonts w:hAnsi="宋体"/>
          <w:sz w:val="24"/>
        </w:rPr>
        <w:t>级</w:t>
      </w:r>
      <w:r>
        <w:rPr>
          <w:sz w:val="24"/>
        </w:rPr>
        <w:t>45</w:t>
      </w:r>
      <w:r>
        <w:rPr>
          <w:rFonts w:hAnsi="宋体"/>
          <w:sz w:val="24"/>
        </w:rPr>
        <w:t>例（</w:t>
      </w:r>
      <w:r>
        <w:rPr>
          <w:sz w:val="24"/>
        </w:rPr>
        <w:t>62.5%</w:t>
      </w:r>
      <w:r>
        <w:rPr>
          <w:rFonts w:hAnsi="宋体"/>
          <w:sz w:val="24"/>
        </w:rPr>
        <w:t>），</w:t>
      </w:r>
      <w:r>
        <w:rPr>
          <w:i/>
          <w:sz w:val="24"/>
        </w:rPr>
        <w:t>P</w:t>
      </w:r>
      <w:r>
        <w:rPr>
          <w:sz w:val="24"/>
        </w:rPr>
        <w:t xml:space="preserve"> =0.016</w:t>
      </w:r>
      <w:r>
        <w:rPr>
          <w:rFonts w:hAnsi="宋体"/>
          <w:sz w:val="24"/>
        </w:rPr>
        <w:t>，差异在统计学上具有显著性意义。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、腹腔镜组和开腹组相比，对吗啡类镇痛药物的需要、肠功能恢复时间、住院时间均更少，差异在统计学上具有非常显著性意义〔</w:t>
      </w:r>
      <w:r>
        <w:rPr>
          <w:sz w:val="24"/>
        </w:rPr>
        <w:t>15.6%</w:t>
      </w:r>
      <w:r>
        <w:rPr>
          <w:rFonts w:hAnsi="宋体"/>
          <w:sz w:val="24"/>
        </w:rPr>
        <w:t>和</w:t>
      </w:r>
      <w:r>
        <w:rPr>
          <w:sz w:val="24"/>
        </w:rPr>
        <w:t>30.6%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=0.040</w:t>
      </w:r>
      <w:r>
        <w:rPr>
          <w:rFonts w:hAnsi="宋体"/>
          <w:sz w:val="24"/>
        </w:rPr>
        <w:t>；（</w:t>
      </w:r>
      <w:r>
        <w:rPr>
          <w:sz w:val="24"/>
        </w:rPr>
        <w:t>66.7±12.2</w:t>
      </w:r>
      <w:r>
        <w:rPr>
          <w:rFonts w:hAnsi="宋体"/>
          <w:sz w:val="24"/>
        </w:rPr>
        <w:t>）</w:t>
      </w:r>
      <w:r>
        <w:rPr>
          <w:sz w:val="24"/>
        </w:rPr>
        <w:t>h</w:t>
      </w:r>
      <w:r>
        <w:rPr>
          <w:rFonts w:hAnsi="宋体"/>
          <w:sz w:val="24"/>
        </w:rPr>
        <w:t>和（</w:t>
      </w:r>
      <w:r>
        <w:rPr>
          <w:sz w:val="24"/>
        </w:rPr>
        <w:t>99.9±19.1</w:t>
      </w:r>
      <w:r>
        <w:rPr>
          <w:rFonts w:hAnsi="宋体"/>
          <w:sz w:val="24"/>
        </w:rPr>
        <w:t>）</w:t>
      </w:r>
      <w:r>
        <w:rPr>
          <w:sz w:val="24"/>
        </w:rPr>
        <w:t>h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=0.000</w:t>
      </w:r>
      <w:r>
        <w:rPr>
          <w:rFonts w:hAnsi="宋体"/>
          <w:sz w:val="24"/>
        </w:rPr>
        <w:t>；（</w:t>
      </w:r>
      <w:r>
        <w:rPr>
          <w:sz w:val="24"/>
        </w:rPr>
        <w:t>7.7±1.0</w:t>
      </w:r>
      <w:r>
        <w:rPr>
          <w:rFonts w:hAnsi="宋体"/>
          <w:sz w:val="24"/>
        </w:rPr>
        <w:t>）</w:t>
      </w:r>
      <w:r>
        <w:rPr>
          <w:sz w:val="24"/>
        </w:rPr>
        <w:t>d</w:t>
      </w:r>
      <w:r>
        <w:rPr>
          <w:rFonts w:hAnsi="宋体"/>
          <w:sz w:val="24"/>
        </w:rPr>
        <w:t>和（</w:t>
      </w:r>
      <w:r>
        <w:rPr>
          <w:sz w:val="24"/>
        </w:rPr>
        <w:t>9.2±1.6</w:t>
      </w:r>
      <w:r>
        <w:rPr>
          <w:rFonts w:hAnsi="宋体"/>
          <w:sz w:val="24"/>
        </w:rPr>
        <w:t>）</w:t>
      </w:r>
      <w:r>
        <w:rPr>
          <w:sz w:val="24"/>
        </w:rPr>
        <w:t>d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=0.000</w:t>
      </w:r>
      <w:r>
        <w:rPr>
          <w:rFonts w:hAnsi="宋体"/>
          <w:sz w:val="24"/>
        </w:rPr>
        <w:t>〕。术后并发症发生率两组无统计学差异（</w:t>
      </w:r>
      <w:r>
        <w:rPr>
          <w:sz w:val="24"/>
        </w:rPr>
        <w:t>15.6</w:t>
      </w:r>
      <w:r>
        <w:rPr>
          <w:rFonts w:hAnsi="宋体"/>
          <w:sz w:val="24"/>
        </w:rPr>
        <w:t>％和</w:t>
      </w:r>
      <w:r>
        <w:rPr>
          <w:sz w:val="24"/>
        </w:rPr>
        <w:t>19.4</w:t>
      </w:r>
      <w:r>
        <w:rPr>
          <w:rFonts w:hAnsi="宋体"/>
          <w:sz w:val="24"/>
        </w:rPr>
        <w:t>％，</w:t>
      </w:r>
      <w:r>
        <w:rPr>
          <w:sz w:val="24"/>
        </w:rPr>
        <w:t>P=0.560</w:t>
      </w:r>
      <w:r>
        <w:rPr>
          <w:rFonts w:hAnsi="宋体"/>
          <w:sz w:val="24"/>
        </w:rPr>
        <w:t>）。</w:t>
      </w:r>
    </w:p>
    <w:p>
      <w:pPr>
        <w:spacing w:line="360" w:lineRule="auto"/>
        <w:ind w:firstLine="480" w:firstLineChars="200"/>
        <w:rPr>
          <w:sz w:val="28"/>
        </w:rPr>
      </w:pPr>
      <w:r>
        <w:rPr>
          <w:sz w:val="24"/>
        </w:rPr>
        <w:t>3</w:t>
      </w:r>
      <w:r>
        <w:rPr>
          <w:rFonts w:hAnsi="宋体"/>
          <w:sz w:val="24"/>
        </w:rPr>
        <w:t>、术后随访肛门功能达到</w:t>
      </w:r>
      <w:r>
        <w:rPr>
          <w:sz w:val="24"/>
        </w:rPr>
        <w:t>1</w:t>
      </w:r>
      <w:r>
        <w:rPr>
          <w:rFonts w:hAnsi="宋体"/>
          <w:sz w:val="24"/>
        </w:rPr>
        <w:t>级比例腹腔镜组与开腹组无统计学差异（</w:t>
      </w:r>
      <w:r>
        <w:rPr>
          <w:sz w:val="24"/>
        </w:rPr>
        <w:t>86.2</w:t>
      </w:r>
      <w:r>
        <w:rPr>
          <w:rFonts w:hAnsi="宋体"/>
          <w:sz w:val="24"/>
        </w:rPr>
        <w:t>％和</w:t>
      </w:r>
      <w:r>
        <w:rPr>
          <w:sz w:val="24"/>
        </w:rPr>
        <w:t>77.4</w:t>
      </w:r>
      <w:r>
        <w:rPr>
          <w:rFonts w:hAnsi="宋体"/>
          <w:sz w:val="24"/>
        </w:rPr>
        <w:t>％，</w:t>
      </w:r>
      <w:r>
        <w:rPr>
          <w:i/>
          <w:sz w:val="24"/>
        </w:rPr>
        <w:t>P</w:t>
      </w:r>
      <w:r>
        <w:rPr>
          <w:rFonts w:hAnsi="宋体"/>
          <w:sz w:val="24"/>
        </w:rPr>
        <w:t>＝</w:t>
      </w:r>
      <w:r>
        <w:rPr>
          <w:sz w:val="24"/>
        </w:rPr>
        <w:t>0.214</w:t>
      </w:r>
      <w:r>
        <w:rPr>
          <w:rFonts w:hAnsi="宋体"/>
          <w:sz w:val="24"/>
        </w:rPr>
        <w:t>）。腹腔镜组局部复发</w:t>
      </w:r>
      <w:r>
        <w:rPr>
          <w:sz w:val="24"/>
        </w:rPr>
        <w:t>4</w:t>
      </w:r>
      <w:r>
        <w:rPr>
          <w:rFonts w:hAnsi="宋体"/>
          <w:sz w:val="24"/>
        </w:rPr>
        <w:t>例，远处转移</w:t>
      </w:r>
      <w:r>
        <w:rPr>
          <w:sz w:val="24"/>
        </w:rPr>
        <w:t>6</w:t>
      </w:r>
      <w:r>
        <w:rPr>
          <w:rFonts w:hAnsi="宋体"/>
          <w:sz w:val="24"/>
        </w:rPr>
        <w:t>例，局部复发率</w:t>
      </w:r>
      <w:r>
        <w:rPr>
          <w:sz w:val="24"/>
        </w:rPr>
        <w:t>6.25</w:t>
      </w:r>
      <w:r>
        <w:rPr>
          <w:rFonts w:hAnsi="宋体"/>
          <w:sz w:val="24"/>
        </w:rPr>
        <w:t>％，总复发率</w:t>
      </w:r>
      <w:r>
        <w:rPr>
          <w:sz w:val="24"/>
        </w:rPr>
        <w:t>15.63</w:t>
      </w:r>
      <w:r>
        <w:rPr>
          <w:rFonts w:hAnsi="宋体"/>
          <w:sz w:val="24"/>
        </w:rPr>
        <w:t>％，其中</w:t>
      </w:r>
      <w:r>
        <w:rPr>
          <w:sz w:val="24"/>
        </w:rPr>
        <w:t>TNM</w:t>
      </w:r>
      <w:r>
        <w:rPr>
          <w:rFonts w:hAnsi="宋体"/>
          <w:sz w:val="24"/>
        </w:rPr>
        <w:t>分期Ⅰ期</w:t>
      </w:r>
      <w:r>
        <w:rPr>
          <w:sz w:val="24"/>
        </w:rPr>
        <w:t>0</w:t>
      </w:r>
      <w:r>
        <w:rPr>
          <w:rFonts w:hAnsi="宋体"/>
          <w:sz w:val="24"/>
        </w:rPr>
        <w:t>例，Ⅱ期远处转移</w:t>
      </w:r>
      <w:r>
        <w:rPr>
          <w:sz w:val="24"/>
        </w:rPr>
        <w:t>2</w:t>
      </w:r>
      <w:r>
        <w:rPr>
          <w:rFonts w:hAnsi="宋体"/>
          <w:sz w:val="24"/>
        </w:rPr>
        <w:t>例，Ⅲ期局部复发</w:t>
      </w:r>
      <w:r>
        <w:rPr>
          <w:sz w:val="24"/>
        </w:rPr>
        <w:t>4</w:t>
      </w:r>
      <w:r>
        <w:rPr>
          <w:rFonts w:hAnsi="宋体"/>
          <w:sz w:val="24"/>
        </w:rPr>
        <w:t>例，远处转移</w:t>
      </w:r>
      <w:r>
        <w:rPr>
          <w:sz w:val="24"/>
        </w:rPr>
        <w:t>4</w:t>
      </w:r>
      <w:r>
        <w:rPr>
          <w:rFonts w:hAnsi="宋体"/>
          <w:sz w:val="24"/>
        </w:rPr>
        <w:t>例；开腹组局部复发</w:t>
      </w:r>
      <w:r>
        <w:rPr>
          <w:sz w:val="24"/>
        </w:rPr>
        <w:t>6</w:t>
      </w:r>
      <w:r>
        <w:rPr>
          <w:rFonts w:hAnsi="宋体"/>
          <w:sz w:val="24"/>
        </w:rPr>
        <w:t>例，远处转移</w:t>
      </w:r>
      <w:r>
        <w:rPr>
          <w:sz w:val="24"/>
        </w:rPr>
        <w:t>6</w:t>
      </w:r>
      <w:r>
        <w:rPr>
          <w:rFonts w:hAnsi="宋体"/>
          <w:sz w:val="24"/>
        </w:rPr>
        <w:t>例，局部复发率</w:t>
      </w:r>
      <w:r>
        <w:rPr>
          <w:sz w:val="24"/>
        </w:rPr>
        <w:t>8.33</w:t>
      </w:r>
      <w:r>
        <w:rPr>
          <w:rFonts w:hAnsi="宋体"/>
          <w:sz w:val="24"/>
        </w:rPr>
        <w:t>％，总复发率</w:t>
      </w:r>
      <w:r>
        <w:rPr>
          <w:sz w:val="24"/>
        </w:rPr>
        <w:t>16.67</w:t>
      </w:r>
      <w:r>
        <w:rPr>
          <w:rFonts w:hAnsi="宋体"/>
          <w:sz w:val="24"/>
        </w:rPr>
        <w:t>％，其中</w:t>
      </w:r>
      <w:r>
        <w:rPr>
          <w:sz w:val="24"/>
        </w:rPr>
        <w:t>TNM</w:t>
      </w:r>
      <w:r>
        <w:rPr>
          <w:rFonts w:hAnsi="宋体"/>
          <w:sz w:val="24"/>
        </w:rPr>
        <w:t>分期Ⅰ期</w:t>
      </w:r>
      <w:r>
        <w:rPr>
          <w:sz w:val="24"/>
        </w:rPr>
        <w:t>0</w:t>
      </w:r>
      <w:r>
        <w:rPr>
          <w:rFonts w:hAnsi="宋体"/>
          <w:sz w:val="24"/>
        </w:rPr>
        <w:t>例，Ⅱ期局部复发</w:t>
      </w:r>
      <w:r>
        <w:rPr>
          <w:sz w:val="24"/>
        </w:rPr>
        <w:t>2</w:t>
      </w:r>
      <w:r>
        <w:rPr>
          <w:rFonts w:hAnsi="宋体"/>
          <w:sz w:val="24"/>
        </w:rPr>
        <w:t>例，远处转移</w:t>
      </w:r>
      <w:r>
        <w:rPr>
          <w:sz w:val="24"/>
        </w:rPr>
        <w:t>2</w:t>
      </w:r>
      <w:r>
        <w:rPr>
          <w:rFonts w:hAnsi="宋体"/>
          <w:sz w:val="24"/>
        </w:rPr>
        <w:t>例，Ⅲ期局部复发</w:t>
      </w:r>
      <w:r>
        <w:rPr>
          <w:sz w:val="24"/>
        </w:rPr>
        <w:t>4</w:t>
      </w:r>
      <w:r>
        <w:rPr>
          <w:rFonts w:hAnsi="宋体"/>
          <w:sz w:val="24"/>
        </w:rPr>
        <w:t>例，远处转移</w:t>
      </w:r>
      <w:r>
        <w:rPr>
          <w:sz w:val="24"/>
        </w:rPr>
        <w:t>4</w:t>
      </w:r>
      <w:r>
        <w:rPr>
          <w:rFonts w:hAnsi="宋体"/>
          <w:sz w:val="24"/>
        </w:rPr>
        <w:t>例。腹腔镜组和开腹组比较，局部复发率、总复发率无统计学差异（</w:t>
      </w:r>
      <w:r>
        <w:rPr>
          <w:sz w:val="24"/>
        </w:rPr>
        <w:t>6.25</w:t>
      </w:r>
      <w:r>
        <w:rPr>
          <w:rFonts w:hAnsi="宋体"/>
          <w:sz w:val="24"/>
        </w:rPr>
        <w:t>％和</w:t>
      </w:r>
      <w:r>
        <w:rPr>
          <w:sz w:val="24"/>
        </w:rPr>
        <w:t>8.83</w:t>
      </w:r>
      <w:r>
        <w:rPr>
          <w:rFonts w:hAnsi="宋体"/>
          <w:sz w:val="24"/>
        </w:rPr>
        <w:t>％，</w:t>
      </w:r>
      <w:r>
        <w:rPr>
          <w:i/>
          <w:sz w:val="24"/>
        </w:rPr>
        <w:t>P</w:t>
      </w:r>
      <w:r>
        <w:rPr>
          <w:sz w:val="24"/>
        </w:rPr>
        <w:t>=0.746</w:t>
      </w:r>
      <w:r>
        <w:rPr>
          <w:rFonts w:hAnsi="宋体"/>
          <w:sz w:val="24"/>
        </w:rPr>
        <w:t>；</w:t>
      </w:r>
      <w:r>
        <w:rPr>
          <w:sz w:val="24"/>
        </w:rPr>
        <w:t>15.63</w:t>
      </w:r>
      <w:r>
        <w:rPr>
          <w:rFonts w:hAnsi="宋体"/>
          <w:sz w:val="24"/>
        </w:rPr>
        <w:t>％和</w:t>
      </w:r>
      <w:r>
        <w:rPr>
          <w:sz w:val="24"/>
        </w:rPr>
        <w:t>16.67</w:t>
      </w:r>
      <w:r>
        <w:rPr>
          <w:rFonts w:hAnsi="宋体"/>
          <w:sz w:val="24"/>
        </w:rPr>
        <w:t>％，</w:t>
      </w:r>
      <w:r>
        <w:rPr>
          <w:i/>
          <w:sz w:val="24"/>
        </w:rPr>
        <w:t>P</w:t>
      </w:r>
      <w:r>
        <w:rPr>
          <w:sz w:val="24"/>
        </w:rPr>
        <w:t xml:space="preserve"> =0.869</w:t>
      </w:r>
      <w:r>
        <w:rPr>
          <w:rFonts w:hAnsi="宋体"/>
          <w:sz w:val="24"/>
        </w:rPr>
        <w:t>）。不同</w:t>
      </w:r>
      <w:r>
        <w:rPr>
          <w:sz w:val="24"/>
        </w:rPr>
        <w:t>TNM</w:t>
      </w:r>
      <w:r>
        <w:rPr>
          <w:rFonts w:hAnsi="宋体"/>
          <w:sz w:val="24"/>
        </w:rPr>
        <w:t>分期的总复发率无统计学差异（</w:t>
      </w:r>
      <w:r>
        <w:rPr>
          <w:sz w:val="24"/>
        </w:rPr>
        <w:t>TNM</w:t>
      </w:r>
      <w:r>
        <w:rPr>
          <w:rFonts w:hAnsi="宋体"/>
          <w:sz w:val="24"/>
        </w:rPr>
        <w:t>Ⅱ期：</w:t>
      </w:r>
      <w:r>
        <w:rPr>
          <w:sz w:val="24"/>
        </w:rPr>
        <w:t>2/64</w:t>
      </w:r>
      <w:r>
        <w:rPr>
          <w:rFonts w:hAnsi="宋体"/>
          <w:sz w:val="24"/>
        </w:rPr>
        <w:t>和</w:t>
      </w:r>
      <w:r>
        <w:rPr>
          <w:sz w:val="24"/>
        </w:rPr>
        <w:t>4/72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=0.684</w:t>
      </w:r>
      <w:r>
        <w:rPr>
          <w:rFonts w:hAnsi="宋体"/>
          <w:sz w:val="24"/>
        </w:rPr>
        <w:t>；Ⅲ期</w:t>
      </w:r>
      <w:r>
        <w:rPr>
          <w:sz w:val="24"/>
        </w:rPr>
        <w:t>8/64</w:t>
      </w:r>
      <w:r>
        <w:rPr>
          <w:rFonts w:hAnsi="宋体"/>
          <w:sz w:val="24"/>
        </w:rPr>
        <w:t>和</w:t>
      </w:r>
      <w:r>
        <w:rPr>
          <w:sz w:val="24"/>
        </w:rPr>
        <w:t>8/72</w:t>
      </w:r>
      <w:r>
        <w:rPr>
          <w:rFonts w:hAnsi="宋体"/>
          <w:sz w:val="24"/>
        </w:rPr>
        <w:t>，</w:t>
      </w:r>
      <w:r>
        <w:rPr>
          <w:i/>
          <w:sz w:val="24"/>
        </w:rPr>
        <w:t>P</w:t>
      </w:r>
      <w:r>
        <w:rPr>
          <w:sz w:val="24"/>
        </w:rPr>
        <w:t xml:space="preserve"> =0.802</w:t>
      </w:r>
      <w:r>
        <w:rPr>
          <w:rFonts w:hAnsi="宋体"/>
          <w:sz w:val="24"/>
        </w:rPr>
        <w:t>）。</w:t>
      </w:r>
    </w:p>
    <w:p>
      <w:pPr>
        <w:spacing w:line="360" w:lineRule="auto"/>
        <w:rPr>
          <w:rFonts w:eastAsia="黑体"/>
          <w:sz w:val="28"/>
          <w:szCs w:val="28"/>
        </w:rPr>
      </w:pPr>
      <w:r>
        <w:rPr>
          <w:rFonts w:hint="eastAsia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Ansi="黑体" w:eastAsia="黑体"/>
          <w:sz w:val="24"/>
          <w:szCs w:val="24"/>
        </w:rPr>
        <w:t>结论</w:t>
      </w:r>
      <w:r>
        <w:rPr>
          <w:rFonts w:eastAsia="黑体"/>
          <w:sz w:val="28"/>
          <w:szCs w:val="28"/>
        </w:rPr>
        <w:t xml:space="preserve"> </w:t>
      </w:r>
    </w:p>
    <w:p>
      <w:pPr>
        <w:spacing w:line="360" w:lineRule="auto"/>
        <w:ind w:firstLine="470" w:firstLineChars="196"/>
        <w:rPr>
          <w:sz w:val="28"/>
        </w:rPr>
      </w:pPr>
      <w:r>
        <w:rPr>
          <w:rFonts w:hAnsi="宋体"/>
          <w:sz w:val="24"/>
        </w:rPr>
        <w:t>腹腔镜</w:t>
      </w:r>
      <w:r>
        <w:rPr>
          <w:sz w:val="24"/>
        </w:rPr>
        <w:t>TME</w:t>
      </w:r>
      <w:r>
        <w:rPr>
          <w:rFonts w:hAnsi="宋体"/>
          <w:sz w:val="24"/>
        </w:rPr>
        <w:t>在遵循肿瘤的根治性原则下，具有以下优点：手术出血量少、更完整的直肠系膜切除、术后肠功能恢复快、镇痛的需要率低、住院时间短。</w:t>
      </w:r>
    </w:p>
    <w:p>
      <w:pPr>
        <w:spacing w:line="360" w:lineRule="auto"/>
        <w:rPr>
          <w:sz w:val="24"/>
        </w:rPr>
      </w:pPr>
      <w:r>
        <w:rPr>
          <w:rFonts w:hint="eastAsia" w:hAnsi="黑体" w:eastAsia="黑体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Ansi="黑体" w:eastAsia="黑体"/>
          <w:sz w:val="24"/>
          <w:szCs w:val="24"/>
        </w:rPr>
        <w:t>关键词</w:t>
      </w:r>
      <w:r>
        <w:rPr>
          <w:sz w:val="28"/>
        </w:rPr>
        <w:t xml:space="preserve"> </w:t>
      </w:r>
      <w:r>
        <w:rPr>
          <w:sz w:val="24"/>
        </w:rPr>
        <w:t>直肠癌；腹腔镜；全直肠系膜切除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F2563"/>
    <w:rsid w:val="098F25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next w:val="1"/>
    <w:uiPriority w:val="0"/>
    <w:pPr>
      <w:spacing w:before="0" w:beforeAutospacing="0" w:after="0" w:afterAutospacing="0" w:line="360" w:lineRule="auto"/>
      <w:jc w:val="center"/>
    </w:pPr>
    <w:rPr>
      <w:rFonts w:eastAsia="黑体"/>
      <w:b w:val="0"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2016-05-05T04:05:00Z</dcterms:created>
  <dc:creator>Administrator</dc:creator>
  <cp:lastModifiedBy>Administrator</cp:lastModifiedBy>
  <dcterms:modified xsi:type="dcterms:W3CDTF">2016-05-05T04:13:40Z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